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7DA" w:rsidRDefault="009407DA" w:rsidP="009407DA">
      <w:pPr>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Порядок организации учета основных средств</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Все хозяйственные операции с основными средствами оформляются с применением унифицированных форм первичной учетной документации, утвержденных Минфином РК, а в случае отсутствия необходимой формы среди форм, утвержденных Минфином, - с применением форм, разработанных в организации и имеющих установленные в Законе “О бухгалтерском учете” обязательные реквизиты (наименование документа, дату его составления, наименование составившей документ организации, содержание хозяйственной операции, измерители операции в денежном и</w:t>
      </w:r>
      <w:proofErr w:type="gramEnd"/>
      <w:r>
        <w:rPr>
          <w:rFonts w:ascii="Times New Roman" w:eastAsia="Times New Roman" w:hAnsi="Times New Roman" w:cs="Times New Roman"/>
          <w:color w:val="000000"/>
          <w:sz w:val="28"/>
          <w:szCs w:val="28"/>
          <w:lang w:eastAsia="ru-RU"/>
        </w:rPr>
        <w:t xml:space="preserve"> натуральном выражении, наименования должностей лиц, ответственных за совершение операции и правильность ее </w:t>
      </w:r>
      <w:proofErr w:type="gramStart"/>
      <w:r>
        <w:rPr>
          <w:rFonts w:ascii="Times New Roman" w:eastAsia="Times New Roman" w:hAnsi="Times New Roman" w:cs="Times New Roman"/>
          <w:color w:val="000000"/>
          <w:sz w:val="28"/>
          <w:szCs w:val="28"/>
          <w:lang w:eastAsia="ru-RU"/>
        </w:rPr>
        <w:t>оформления</w:t>
      </w:r>
      <w:proofErr w:type="gramEnd"/>
      <w:r>
        <w:rPr>
          <w:rFonts w:ascii="Times New Roman" w:eastAsia="Times New Roman" w:hAnsi="Times New Roman" w:cs="Times New Roman"/>
          <w:color w:val="000000"/>
          <w:sz w:val="28"/>
          <w:szCs w:val="28"/>
          <w:lang w:eastAsia="ru-RU"/>
        </w:rPr>
        <w:t xml:space="preserve"> и личные подписи этих лиц).</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соответствии с Законом “О бухгалтерском учете” перечень лиц, имеющих право подписи первичных учетных документов, утверждает руководитель организации по согласованию с главным бухгалтером.</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Операции по движению основных средств оформляются следующими документами: акт приемки-передачи основных средств; инвентарная карточка, открываемая на каждый объект, в которой в течение срока службы делаются отметки о проведенных ремонтах, модернизации, выбытии основных средств; акт приемки-передачи отремонтированных, реконструированных и модернизированных основных средств; акт на списание основных средств; в конце месяца на основании первичных документов оформляется журнал-ордер №13.</w:t>
      </w:r>
      <w:proofErr w:type="gramEnd"/>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Поступление основных средств на предприятие оформляется актом приемки-передачи основных средств или актом покупки основных средств. На предприятиях основные средства учитываются на карточках или в книгах по их видам, месту использования и материально-ответственному лицу. Данные на карточку или книгу заносятся на основе первичных документов (техпаспорт, акт приемки-передачи и др.). В строительстве зачисление объектов в состав основных средств оформляется актом приемки-передачи основных средств по форме ОС-1, за исключением случаев, когда ввод объектов в действие должен в соответствии с действующим положением оформляться в особом порядке. В акте указывается краткая характеристика принимаемого объекта, его основные признаки и параметры. Например, для характеристики здания указываются его назначение, материал основания, стен и крыши, число этажей, квартир, общая и полезная площадь, относящиеся к зданию и входящие в состав объекта подсобные строения и оборудование и т.д. Для характеристики машин и оборудования принимаются их тип, марка, мощность, производительность и т.д.</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Каждому инвентарному объекту основных сре</w:t>
      </w:r>
      <w:proofErr w:type="gramStart"/>
      <w:r>
        <w:rPr>
          <w:rFonts w:ascii="Times New Roman" w:eastAsia="Times New Roman" w:hAnsi="Times New Roman" w:cs="Times New Roman"/>
          <w:color w:val="000000"/>
          <w:sz w:val="28"/>
          <w:szCs w:val="28"/>
          <w:lang w:eastAsia="ru-RU"/>
        </w:rPr>
        <w:t>дств пр</w:t>
      </w:r>
      <w:proofErr w:type="gramEnd"/>
      <w:r>
        <w:rPr>
          <w:rFonts w:ascii="Times New Roman" w:eastAsia="Times New Roman" w:hAnsi="Times New Roman" w:cs="Times New Roman"/>
          <w:color w:val="000000"/>
          <w:sz w:val="28"/>
          <w:szCs w:val="28"/>
          <w:lang w:eastAsia="ru-RU"/>
        </w:rPr>
        <w:t>исваивается инвентарный номер, который наносится на данный инвентарный объект при принятии его на учет и сохраняется за ним в течение всего периода его нахождения в данной организации. После выбытия инвентарного объекта его инвентарный номер не присваивается другим основным средствам в течение пяти лет. На каждый инвентарный объект заводится инвентарная карточка унифицированной типовой формы ОС-6, либо, при небольшом количестве объектов основных средств, осуществляется запись в инвентарной книге.</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Инвентарные карточки или инвентарная книга заполняются на основании актов (накладных) приемки-передачи основных средств типовой формы ОС-1, а </w:t>
      </w:r>
      <w:r>
        <w:rPr>
          <w:rFonts w:ascii="Times New Roman" w:eastAsia="Times New Roman" w:hAnsi="Times New Roman" w:cs="Times New Roman"/>
          <w:color w:val="000000"/>
          <w:sz w:val="28"/>
          <w:szCs w:val="28"/>
          <w:lang w:eastAsia="ru-RU"/>
        </w:rPr>
        <w:lastRenderedPageBreak/>
        <w:t xml:space="preserve">также на основании данных технических паспортов, иных документов на приобретение, сооружение, дооборудование, перемещение и списание объектов основных средств, и должны содержать основные сведения о каждом инвентарном объекте. Аналогичные инвентарные карточки или инвентарная книга могут заводиться на арендованные основные средства, учитываемые организацией на </w:t>
      </w:r>
      <w:proofErr w:type="spellStart"/>
      <w:r>
        <w:rPr>
          <w:rFonts w:ascii="Times New Roman" w:eastAsia="Times New Roman" w:hAnsi="Times New Roman" w:cs="Times New Roman"/>
          <w:color w:val="000000"/>
          <w:sz w:val="28"/>
          <w:szCs w:val="28"/>
          <w:lang w:eastAsia="ru-RU"/>
        </w:rPr>
        <w:t>забалансовых</w:t>
      </w:r>
      <w:proofErr w:type="spellEnd"/>
      <w:r>
        <w:rPr>
          <w:rFonts w:ascii="Times New Roman" w:eastAsia="Times New Roman" w:hAnsi="Times New Roman" w:cs="Times New Roman"/>
          <w:color w:val="000000"/>
          <w:sz w:val="28"/>
          <w:szCs w:val="28"/>
          <w:lang w:eastAsia="ru-RU"/>
        </w:rPr>
        <w:t xml:space="preserve"> счетах.</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Синтетический учет операций по движению основных средств ведется в журнале-ордере №13. В нем выделен раздел, где отражаются кредитовые обороты по счетам учета основных сре</w:t>
      </w:r>
      <w:proofErr w:type="gramStart"/>
      <w:r>
        <w:rPr>
          <w:rFonts w:ascii="Times New Roman" w:eastAsia="Times New Roman" w:hAnsi="Times New Roman" w:cs="Times New Roman"/>
          <w:color w:val="000000"/>
          <w:sz w:val="28"/>
          <w:szCs w:val="28"/>
          <w:lang w:eastAsia="ru-RU"/>
        </w:rPr>
        <w:t>дств в к</w:t>
      </w:r>
      <w:proofErr w:type="gramEnd"/>
      <w:r>
        <w:rPr>
          <w:rFonts w:ascii="Times New Roman" w:eastAsia="Times New Roman" w:hAnsi="Times New Roman" w:cs="Times New Roman"/>
          <w:color w:val="000000"/>
          <w:sz w:val="28"/>
          <w:szCs w:val="28"/>
          <w:lang w:eastAsia="ru-RU"/>
        </w:rPr>
        <w:t>орреспонденции с соответствующими дебетуемыми счетами. Записи в этот журнал-ордер делают на основании первичных документов на движение основных средств. Ежемесячно в журнале-ордере выводят итоги оборотов, которые после сверки с данными других учетных регистров переносят в главную книгу. Аналитический учет ведется по видам и отдельным объектам основных средств.</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Поскольку основные средства приносят организации экономические выгоды в течение длительного периода времени их использования для производства продукции, выполнения работ, оказания услуг либо для управленческих нужд, то их стоимость включается в издержки производства и обращения не единовременно, а в течение срока их полезного использования путем начисления амортизации.</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С целью проверки полноты и достоверности бухгалтерских данных по основным средствам, соответствия записей бухгалтерского учета реальному положению дел регулярно (но не реже одного раза в год) производится инвентаризация основных средств, в ходе которой производится их физический пересчет (проверка их наличия и состояния), данные инвентарных карточек или записи в инвентарной книге суммарно сверяются с данными синтетического учета, проверяются учетные записи по</w:t>
      </w:r>
      <w:proofErr w:type="gramEnd"/>
      <w:r>
        <w:rPr>
          <w:rFonts w:ascii="Times New Roman" w:eastAsia="Times New Roman" w:hAnsi="Times New Roman" w:cs="Times New Roman"/>
          <w:color w:val="000000"/>
          <w:sz w:val="28"/>
          <w:szCs w:val="28"/>
          <w:lang w:eastAsia="ru-RU"/>
        </w:rPr>
        <w:t xml:space="preserve"> движению основных средств и начислению по ним амортизации, проверяется соответствие учетной оценки объектов требованиям нормативных документов по бухгалтерскому учету и внутренних нормативных документов организации, анализируются события в жизни организации для выявления объектов основных средств, подлежащих отражению в бухгалтерском учете и финансовой отчетности, либо подлежащие списанию с бухгалтерского учета.</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Для учета наличия и движения основных средств, принадлежащих субъекту на праве собственности, хозяйственного ведения или оперативного управления, долгосрочно арендуемых, а также незавершенного строительства, предназначены счета подраздела 24: 2411 «Земля», 2412 «Здания», 2413 «Машины и оборудование», 2414 «Транспортные средства», 2415 «Компьютеры, периферийные устройства и оборудование по обработке данных» и др. Эти счета по: экономическому содержанию – активы;</w:t>
      </w:r>
      <w:proofErr w:type="gramEnd"/>
      <w:r>
        <w:rPr>
          <w:rFonts w:ascii="Times New Roman" w:eastAsia="Times New Roman" w:hAnsi="Times New Roman" w:cs="Times New Roman"/>
          <w:color w:val="000000"/>
          <w:sz w:val="28"/>
          <w:szCs w:val="28"/>
          <w:lang w:eastAsia="ru-RU"/>
        </w:rPr>
        <w:t xml:space="preserve"> назначению – </w:t>
      </w:r>
      <w:proofErr w:type="gramStart"/>
      <w:r>
        <w:rPr>
          <w:rFonts w:ascii="Times New Roman" w:eastAsia="Times New Roman" w:hAnsi="Times New Roman" w:cs="Times New Roman"/>
          <w:color w:val="000000"/>
          <w:sz w:val="28"/>
          <w:szCs w:val="28"/>
          <w:lang w:eastAsia="ru-RU"/>
        </w:rPr>
        <w:t>материально-инвентарные</w:t>
      </w:r>
      <w:proofErr w:type="gramEnd"/>
      <w:r>
        <w:rPr>
          <w:rFonts w:ascii="Times New Roman" w:eastAsia="Times New Roman" w:hAnsi="Times New Roman" w:cs="Times New Roman"/>
          <w:color w:val="000000"/>
          <w:sz w:val="28"/>
          <w:szCs w:val="28"/>
          <w:lang w:eastAsia="ru-RU"/>
        </w:rPr>
        <w:t>; структуре – активные.</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счете 2930 «Незавершенное строительство» учитываются затраты:</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 возведению зданий и сооружений, монтажу оборудования и другие расходы, предусмотренные сметами, сметно-финансовыми расчетами на капитальное строительство (независимо от того, осуществляется это строительство подрядным или хозяйственным способом), а также проценты по кредитам, предоставленным на период строительства;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proofErr w:type="gramStart"/>
      <w:r>
        <w:rPr>
          <w:rFonts w:ascii="Times New Roman" w:eastAsia="Times New Roman" w:hAnsi="Times New Roman" w:cs="Times New Roman"/>
          <w:color w:val="000000"/>
          <w:sz w:val="28"/>
          <w:szCs w:val="28"/>
          <w:lang w:eastAsia="ru-RU"/>
        </w:rPr>
        <w:t>связанные</w:t>
      </w:r>
      <w:proofErr w:type="gramEnd"/>
      <w:r>
        <w:rPr>
          <w:rFonts w:ascii="Times New Roman" w:eastAsia="Times New Roman" w:hAnsi="Times New Roman" w:cs="Times New Roman"/>
          <w:color w:val="000000"/>
          <w:sz w:val="28"/>
          <w:szCs w:val="28"/>
          <w:lang w:eastAsia="ru-RU"/>
        </w:rPr>
        <w:t xml:space="preserve"> со строительством и приобретением основных средств, включаемые и не включаемые в первоначальную стоимость объектов основных средств;</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 приобретению технологического, энергетического и производственного оборудования (включая оборудование для мастерских, опытных установок и лабораторий), требующего монтажа и предназначенного для установки в строящихся (реконструируемых) объектах капитальных вложений;</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выращивании в хозяйстве молодняка, продуктивного и рабочего скота, переводимого в основное стадо.</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завершении строительства стоимость объектов основных средств, принятых в эксплуатацию, списывается с кредита счета 2930 в дебет соответствующих счетов подраздела 2410 «Основные средства». Затраты, связанные со строительством, но не включаемые в первоначальную стоимость объектов списываются со счета 2930 «Незавершенное строительство» в дебет соответствующих счетов 7210 «Административные расходы».</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Таким образом, в данной главе мы рассмотрели сущность и значение основных средств, их классификацию, признаки и критерии признания их в учете, а также общий порядок учета основных средств в организации. Основные средства являются неотъемлемой частью построения деятельности организации, потому правильная организация учета основных средств на предприятии имеет решающее значение для его дальнейшей деятельности. Порядок учета основных средств определен МСФО 16 «Основные средства».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 средства – это материальные активы, отвечающие требованиям долгосрочного использования и предназначению для производственных, управленческих целей, а также для поставки товаров и услуг и сдачи в аренду.</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своему составу они очень разнообразны. К основным средствам относятся: здания, сооружения, рабочие и силовые машины и оборудование, измерительные и регулирующие приборы и устройства, вычислительная техника, транспортные средства, инструмент, производственный и хозяйственный инвентарь и принадлежности, рабочий, продуктивный и племенной скот, многолетние насаждения, внутрихозяйственные дороги и прочие соответствующие объекты. В составе основных средств учитываются также: капитальные вложения на коренное улучшение земель (осушительные, оросительные и другие мелиоративные работы); капитальные вложения в арендованные объекты основных средств; земельные участки, объекты природопользования (вода, недра и другие природные ресурсы).</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Признание надо понимать, как определение категории объектов учета и отражение в соответствующей форме финансовой отчетности. Должны присутствовать два определяющих критерия признания объектов учета в составе активов: вероятность будущих экономических выгод и надежная оценка затрат.</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Единицей бухгалтерского учета основных средств является инвентарный объект. </w:t>
      </w:r>
      <w:proofErr w:type="gramStart"/>
      <w:r>
        <w:rPr>
          <w:rFonts w:ascii="Times New Roman" w:eastAsia="Times New Roman" w:hAnsi="Times New Roman" w:cs="Times New Roman"/>
          <w:color w:val="000000"/>
          <w:sz w:val="28"/>
          <w:szCs w:val="28"/>
          <w:lang w:eastAsia="ru-RU"/>
        </w:rPr>
        <w:t xml:space="preserve">Инвентарным объектом основных средств признается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собой единое целое и предназначенный для выполнения определенной работы.. В случае наличия у одного объекта </w:t>
      </w:r>
      <w:r>
        <w:rPr>
          <w:rFonts w:ascii="Times New Roman" w:eastAsia="Times New Roman" w:hAnsi="Times New Roman" w:cs="Times New Roman"/>
          <w:color w:val="000000"/>
          <w:sz w:val="28"/>
          <w:szCs w:val="28"/>
          <w:lang w:eastAsia="ru-RU"/>
        </w:rPr>
        <w:lastRenderedPageBreak/>
        <w:t>нескольких частей, сроки полезного использования которых существенно отличаются, каждая такая часть учитывается как самостоятельный инвентарный</w:t>
      </w:r>
      <w:proofErr w:type="gramEnd"/>
      <w:r>
        <w:rPr>
          <w:rFonts w:ascii="Times New Roman" w:eastAsia="Times New Roman" w:hAnsi="Times New Roman" w:cs="Times New Roman"/>
          <w:color w:val="000000"/>
          <w:sz w:val="28"/>
          <w:szCs w:val="28"/>
          <w:lang w:eastAsia="ru-RU"/>
        </w:rPr>
        <w:t xml:space="preserve"> объект.</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учету наличия и движения основных средств разработаны и применяются типовые формы учетной документации, совершенствуются законодательство и методические рекомендации по применению международных стандартов и др.</w:t>
      </w:r>
    </w:p>
    <w:p w:rsidR="009407DA" w:rsidRDefault="009407DA" w:rsidP="009407DA">
      <w:pPr>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Определение срока полезного использования основных сре</w:t>
      </w:r>
      <w:proofErr w:type="gramStart"/>
      <w:r>
        <w:rPr>
          <w:rFonts w:ascii="Times New Roman" w:eastAsia="Times New Roman" w:hAnsi="Times New Roman" w:cs="Times New Roman"/>
          <w:b/>
          <w:bCs/>
          <w:color w:val="000000"/>
          <w:sz w:val="28"/>
          <w:szCs w:val="28"/>
          <w:lang w:eastAsia="ru-RU"/>
        </w:rPr>
        <w:t>дств пр</w:t>
      </w:r>
      <w:proofErr w:type="gramEnd"/>
      <w:r>
        <w:rPr>
          <w:rFonts w:ascii="Times New Roman" w:eastAsia="Times New Roman" w:hAnsi="Times New Roman" w:cs="Times New Roman"/>
          <w:b/>
          <w:bCs/>
          <w:color w:val="000000"/>
          <w:sz w:val="28"/>
          <w:szCs w:val="28"/>
          <w:lang w:eastAsia="ru-RU"/>
        </w:rPr>
        <w:t>и их постановке на учет</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 средства признаются на балансе по себестоимости, которая равна: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сумме всех прямых затрат на приобретение с учетом скидок;</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справедливой стоимости другого возмещения.</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большинстве случаев объекты недвижимости, зданий и оборудования могут быть приобретены: за деньги, путем строительства, в кредит, безвозмездно, в обмен на другие активы.</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приобретении объекта недвижимости, зданий и оборудования за плату фактические затраты на приобретение состоят из покупной цены (за вычетом любых торговых скидок, предоставленных продавцом), включая импортные пошлины и невозмещаемые налоги и сборы, и всех затрат, непосредственно необходимых для приведения объекта в рабочее состояние, позволяющее его использовать по назначению. Необходимым условием для включения любых затрат фактическую стоимость является непосредственная связь их с приобретением или доведением объекта до рабочего состояния.</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определении фактических затрат на приобретение актива необходимо учитывать также принципы, установленные другими МСФО. Так, для включения в фактические затраты за кредит на создание (строительство) объекта необходимо, чтобы они удовлетворяли критериям, установленным МСФО 23 «Затраты по займам».</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Период капитализации затрат по займам начинается при удовлетворении следующих условий:</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производятся расходы на этот актив;</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производятся затраты по займу;</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ведется деятельность, необходимая для подготовки актива к его использованию или продаже.</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Когда объект недвижимости, зданий и оборудования приобретают в обмен на другой актив, фактическая стоимость полученного объекта принимается равной его справедливой стоимости, которая равняется справедливой стоимости переданного актива, скорректированной на сумму уплаченных денежных средств или их эквивалентов.</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случае если операция по обмену основана не на коммерческой основе, или справедливая стоимость ни полученного, ни переданного актива не может быть надежно оценена, то стоимость приобретенного объекта оценивается по балансовой стоимости переданного актива.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каждому объекту основных сре</w:t>
      </w:r>
      <w:proofErr w:type="gramStart"/>
      <w:r>
        <w:rPr>
          <w:rFonts w:ascii="Times New Roman" w:eastAsia="Times New Roman" w:hAnsi="Times New Roman" w:cs="Times New Roman"/>
          <w:color w:val="000000"/>
          <w:sz w:val="28"/>
          <w:szCs w:val="28"/>
          <w:lang w:eastAsia="ru-RU"/>
        </w:rPr>
        <w:t>дств пр</w:t>
      </w:r>
      <w:proofErr w:type="gramEnd"/>
      <w:r>
        <w:rPr>
          <w:rFonts w:ascii="Times New Roman" w:eastAsia="Times New Roman" w:hAnsi="Times New Roman" w:cs="Times New Roman"/>
          <w:color w:val="000000"/>
          <w:sz w:val="28"/>
          <w:szCs w:val="28"/>
          <w:lang w:eastAsia="ru-RU"/>
        </w:rPr>
        <w:t xml:space="preserve">и принятии его на учет определяется срок его полезного использования в целях бухгалтерского учета, который может быть уточнен (в сторону увеличения) при улучшении </w:t>
      </w:r>
      <w:r>
        <w:rPr>
          <w:rFonts w:ascii="Times New Roman" w:eastAsia="Times New Roman" w:hAnsi="Times New Roman" w:cs="Times New Roman"/>
          <w:color w:val="000000"/>
          <w:sz w:val="28"/>
          <w:szCs w:val="28"/>
          <w:lang w:eastAsia="ru-RU"/>
        </w:rPr>
        <w:lastRenderedPageBreak/>
        <w:t>первоначально принятых в расчет нормативных показателей функционирования этого объекта в результате проведения реконструкции и модернизации.</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определению МСФО 16, срок полезного использования – это:</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-период времени, на протяжении которого, как ожидается, актив будет иметься в наличии для использования предприятием; или</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-количество единиц продукции или аналогичных единиц, которые предприятие ожидает получить от использования актива.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Этот срок определяется самой организацией исходя </w:t>
      </w:r>
      <w:proofErr w:type="gramStart"/>
      <w:r>
        <w:rPr>
          <w:rFonts w:ascii="Times New Roman" w:eastAsia="Times New Roman" w:hAnsi="Times New Roman" w:cs="Times New Roman"/>
          <w:color w:val="000000"/>
          <w:sz w:val="28"/>
          <w:szCs w:val="28"/>
          <w:lang w:eastAsia="ru-RU"/>
        </w:rPr>
        <w:t>из</w:t>
      </w:r>
      <w:proofErr w:type="gramEnd"/>
      <w:r>
        <w:rPr>
          <w:rFonts w:ascii="Times New Roman" w:eastAsia="Times New Roman" w:hAnsi="Times New Roman" w:cs="Times New Roman"/>
          <w:color w:val="000000"/>
          <w:sz w:val="28"/>
          <w:szCs w:val="28"/>
          <w:lang w:eastAsia="ru-RU"/>
        </w:rPr>
        <w:t>:</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ожидаемого срока использования объекта в соответствии с ожидаемой производительностью или мощностью,</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ожидаемого физического износа, зависящего от режима и условий эксплуатации (количества смен), естественных условий и влияния агрессивной среды, системы проведения ремонта,</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нормативно-правовых и других ограничений использования этого объекта (срока аренды для арендованных объектов и т.п.).</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 приведенного перечня определяющих срок полезного использования сведений можно сделать вывод, что степень нормативной и технической регламентации при установлении срока полезного использования основных средств существенно снизилась.</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Если организация уже при вводе основного средства в эксплуатацию имеет информацию, например, о запуске некоторым заводом в производство аналогичного основного средства, обладающего гораздо лучшими производственными характеристиками, и планирует приобрести это новое оборудование, то “бухгалтерский” срок полезного использования данного основного средства может быть установлен существенно меньше сроков, указанных в его технической документации, ввиду планируемой экономии на обслуживании.</w:t>
      </w:r>
      <w:proofErr w:type="gramEnd"/>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Аналогичным образом “технический” срок службы оборудования может и даже должен быть откорректирован, если использование объекта может осуществляться только в месте его расположения в момент ввода в эксплуатацию (например, если расходы на демонтаж и перенос объекта в другое место соизмеримы со стоимостью объекта, т.е. экономически явно нецелесообразны), и при этом срок аренды соответствующего земельного участка, или срок разработки участка недр</w:t>
      </w:r>
      <w:proofErr w:type="gramEnd"/>
      <w:r>
        <w:rPr>
          <w:rFonts w:ascii="Times New Roman" w:eastAsia="Times New Roman" w:hAnsi="Times New Roman" w:cs="Times New Roman"/>
          <w:color w:val="000000"/>
          <w:sz w:val="28"/>
          <w:szCs w:val="28"/>
          <w:lang w:eastAsia="ru-RU"/>
        </w:rPr>
        <w:t xml:space="preserve"> в соответствии с соглашением о разделе продукции, или ожидаемый срок до истощения месторождения полезного ископаемого, или срок службы здания/сооружения, где смонтировано данное основное средство и т.п. меньше “технического” срока службы оборудования.</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Такой подход будет полностью соответствовать требованию осмотрительности, состоящему в большей готовности к признанию в бухгалтерском учете расходов (повышенной амортизации), чем возможных доходов и активов.</w:t>
      </w:r>
    </w:p>
    <w:p w:rsidR="009407DA" w:rsidRDefault="009407DA" w:rsidP="009407DA">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Организация при определении “налогового” срока полезного использования основных средств в обязательном порядке должна учитывать сроки, установленные для многих типов основных средств Постановлением Правительства РК, а при отсутствии там конкретного вида основных средств должны использоваться сроки, указанные в технической документации, и рекомендации организаций-изготовителей.</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lastRenderedPageBreak/>
        <w:t>На протяжении срока эксплуатации объектов часто возникает необходимость в последующих затратах, направленных на улучшение состояния объекта для продления срока полезной службы и/или повышения производительности сверх первоначально рассчитанных нормативных показателей (что ведет к увеличению будущих экономических выгод), а также для поддержания объекта в рабочем состоянии с целью сохранения или восстановления будущих экономических выгод, ожидаемых в соответствии с первоначально рассчитанными нормативными</w:t>
      </w:r>
      <w:proofErr w:type="gramEnd"/>
      <w:r>
        <w:rPr>
          <w:rFonts w:ascii="Times New Roman" w:eastAsia="Times New Roman" w:hAnsi="Times New Roman" w:cs="Times New Roman"/>
          <w:color w:val="000000"/>
          <w:sz w:val="28"/>
          <w:szCs w:val="28"/>
          <w:lang w:eastAsia="ru-RU"/>
        </w:rPr>
        <w:t xml:space="preserve"> показателями его функционирования.</w:t>
      </w:r>
    </w:p>
    <w:p w:rsidR="009407DA" w:rsidRDefault="009407DA" w:rsidP="009407DA">
      <w:pPr>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Последующие затраты, относящиеся к объекту основных средств, который уже был признан, должны увеличивать его балансовую стоимость, если организация с большей долей вероятности получит будущие экономические выгоды, превышающие первоначально рассчитанные нормативные показатели существующего актива.</w:t>
      </w:r>
      <w:proofErr w:type="gramEnd"/>
    </w:p>
    <w:p w:rsidR="000E5821" w:rsidRDefault="009407DA" w:rsidP="009407DA">
      <w:r>
        <w:rPr>
          <w:rFonts w:ascii="Times New Roman" w:eastAsia="Times New Roman" w:hAnsi="Times New Roman" w:cs="Times New Roman"/>
          <w:color w:val="000000"/>
          <w:sz w:val="28"/>
          <w:szCs w:val="28"/>
          <w:lang w:eastAsia="ru-RU"/>
        </w:rPr>
        <w:t>Все прочие последующие затраты должны быть признаны как расходы того периода, в котором были понесены</w:t>
      </w:r>
    </w:p>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9407DA"/>
    <w:rsid w:val="000E5821"/>
    <w:rsid w:val="00190430"/>
    <w:rsid w:val="00543310"/>
    <w:rsid w:val="009407DA"/>
    <w:rsid w:val="00CB5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7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569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2372</Words>
  <Characters>13523</Characters>
  <Application>Microsoft Office Word</Application>
  <DocSecurity>0</DocSecurity>
  <Lines>112</Lines>
  <Paragraphs>31</Paragraphs>
  <ScaleCrop>false</ScaleCrop>
  <Company/>
  <LinksUpToDate>false</LinksUpToDate>
  <CharactersWithSpaces>15864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2021-02-28T16:57:00Z</dcterms:created>
  <dcterms:modified xsi:type="dcterms:W3CDTF">2021-02-28T17:01:00Z</dcterms:modified>
</cp:coreProperties>
</file>